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3C4" w:rsidRPr="007253C4" w:rsidRDefault="007253C4" w:rsidP="007253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253C4" w:rsidRPr="007253C4" w:rsidRDefault="007253C4" w:rsidP="00725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253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7253C4" w:rsidRPr="007253C4" w:rsidRDefault="007253C4" w:rsidP="00725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7253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КАРТАЛИНСКОГО ГОРОДСКОГО ПОСЕЛЕНИЯ</w:t>
      </w:r>
    </w:p>
    <w:p w:rsidR="007253C4" w:rsidRPr="007253C4" w:rsidRDefault="007253C4" w:rsidP="007253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:rsidR="007253C4" w:rsidRPr="007253C4" w:rsidRDefault="007253C4" w:rsidP="007253C4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7253C4" w:rsidRPr="007253C4" w:rsidRDefault="007253C4" w:rsidP="007253C4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7253C4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ПОСТАНОВЛЕНИЕ</w:t>
      </w:r>
    </w:p>
    <w:p w:rsidR="007253C4" w:rsidRPr="007253C4" w:rsidRDefault="007253C4" w:rsidP="007253C4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7253C4" w:rsidRPr="007253C4" w:rsidTr="00B05959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7253C4" w:rsidRPr="007253C4" w:rsidRDefault="007253C4" w:rsidP="007253C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53C4" w:rsidRPr="007253C4" w:rsidTr="00B05959">
        <w:trPr>
          <w:gridAfter w:val="1"/>
          <w:wAfter w:w="5503" w:type="dxa"/>
          <w:trHeight w:val="66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53C4" w:rsidRPr="007253C4" w:rsidRDefault="007253C4" w:rsidP="007253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</w:t>
            </w:r>
            <w:r w:rsidRPr="007253C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28</w:t>
            </w:r>
            <w:r w:rsidRPr="007253C4">
              <w:rPr>
                <w:rFonts w:ascii="Times New Roman" w:eastAsia="Times New Roman" w:hAnsi="Times New Roman" w:cs="Times New Roman"/>
                <w:sz w:val="24"/>
                <w:szCs w:val="24"/>
              </w:rPr>
              <w:t>____»____</w:t>
            </w:r>
            <w:r w:rsidRPr="007253C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7253C4">
              <w:rPr>
                <w:rFonts w:ascii="Times New Roman" w:eastAsia="Times New Roman" w:hAnsi="Times New Roman" w:cs="Times New Roman"/>
                <w:sz w:val="24"/>
                <w:szCs w:val="24"/>
              </w:rPr>
              <w:t>____2021 г.___</w:t>
            </w:r>
            <w:r w:rsidRPr="007253C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440</w:t>
            </w:r>
            <w:r w:rsidRPr="007253C4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  <w:p w:rsidR="007253C4" w:rsidRPr="007253C4" w:rsidRDefault="007253C4" w:rsidP="007253C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253C4">
              <w:rPr>
                <w:rFonts w:ascii="Times New Roman" w:eastAsia="Times New Roman" w:hAnsi="Times New Roman" w:cs="Times New Roman"/>
                <w:sz w:val="24"/>
                <w:szCs w:val="24"/>
              </w:rPr>
              <w:t>г. Карталы</w:t>
            </w:r>
          </w:p>
        </w:tc>
      </w:tr>
    </w:tbl>
    <w:p w:rsidR="007253C4" w:rsidRPr="007253C4" w:rsidRDefault="007253C4" w:rsidP="007253C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3C4" w:rsidRPr="007253C4" w:rsidRDefault="007253C4" w:rsidP="007253C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основных направлений</w:t>
      </w:r>
    </w:p>
    <w:p w:rsidR="007253C4" w:rsidRPr="007253C4" w:rsidRDefault="007253C4" w:rsidP="007253C4">
      <w:pPr>
        <w:spacing w:after="0" w:line="240" w:lineRule="auto"/>
        <w:ind w:right="42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бюджетной </w:t>
      </w: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налоговой политики Карталинского городского поселения на 2022 год и на плановый период 2023 и 2024 годов</w:t>
      </w:r>
    </w:p>
    <w:p w:rsidR="007253C4" w:rsidRPr="007253C4" w:rsidRDefault="007253C4" w:rsidP="007253C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3C4" w:rsidRPr="007253C4" w:rsidRDefault="007253C4" w:rsidP="007253C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3C4" w:rsidRPr="007253C4" w:rsidRDefault="007253C4" w:rsidP="007253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172 Бюджетного кодекса Российской Федерации, статьей 21 Положения «О бюджетном процессе в Карталинском городском поселении», утвержденного Решением Совета депутатов Карталинского городского поселения от 26 декабря 2014 года № 93 (с изменениями и дополнениями),</w:t>
      </w:r>
    </w:p>
    <w:p w:rsidR="007253C4" w:rsidRPr="007253C4" w:rsidRDefault="007253C4" w:rsidP="00725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Карталинского городского поселения ПОСТАНОВЛЯЕТ:</w:t>
      </w:r>
    </w:p>
    <w:p w:rsidR="007253C4" w:rsidRPr="007253C4" w:rsidRDefault="007253C4" w:rsidP="007253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прилагаемые основные направления бюджетной и налоговой политики Карталинского городского поселения на 2022 год и на плановый период 2023 и 2024 годов</w:t>
      </w:r>
      <w:r w:rsidRPr="007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253C4" w:rsidRPr="007253C4" w:rsidRDefault="007253C4" w:rsidP="007253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7253C4" w:rsidRPr="007253C4" w:rsidRDefault="007253C4" w:rsidP="007253C4">
      <w:pPr>
        <w:spacing w:after="0" w:line="240" w:lineRule="auto"/>
        <w:ind w:firstLine="7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3C4" w:rsidRPr="007253C4" w:rsidRDefault="007253C4" w:rsidP="007253C4">
      <w:pPr>
        <w:spacing w:after="0" w:line="240" w:lineRule="auto"/>
        <w:ind w:firstLine="7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3C4" w:rsidRPr="007253C4" w:rsidRDefault="007253C4" w:rsidP="007253C4">
      <w:pPr>
        <w:spacing w:after="0" w:line="240" w:lineRule="auto"/>
        <w:ind w:firstLine="7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3C4" w:rsidRPr="007253C4" w:rsidRDefault="007253C4" w:rsidP="007253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Карталинского</w:t>
      </w:r>
    </w:p>
    <w:p w:rsidR="007253C4" w:rsidRDefault="007253C4" w:rsidP="007253C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В.Н. </w:t>
      </w:r>
      <w:proofErr w:type="spellStart"/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Верета</w:t>
      </w:r>
      <w:proofErr w:type="spellEnd"/>
      <w:r w:rsidRPr="007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253C4" w:rsidRDefault="007253C4" w:rsidP="007253C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3C4" w:rsidRDefault="007253C4" w:rsidP="007253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3C4" w:rsidRDefault="007253C4" w:rsidP="007253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3C4" w:rsidRDefault="007253C4" w:rsidP="007253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3C4" w:rsidRDefault="007253C4" w:rsidP="007253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06C2" w:rsidRDefault="001806C2" w:rsidP="007253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06C2" w:rsidRDefault="001806C2" w:rsidP="007253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06C2" w:rsidRDefault="001806C2" w:rsidP="007253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06C2" w:rsidRDefault="001806C2" w:rsidP="007253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7253C4" w:rsidRDefault="007253C4" w:rsidP="007253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3C4" w:rsidRPr="007253C4" w:rsidRDefault="007253C4" w:rsidP="007253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УТВЕРЖДЕНЫ</w:t>
      </w:r>
    </w:p>
    <w:p w:rsidR="007253C4" w:rsidRPr="007253C4" w:rsidRDefault="007253C4" w:rsidP="007253C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администрации</w:t>
      </w:r>
    </w:p>
    <w:p w:rsidR="007253C4" w:rsidRPr="007253C4" w:rsidRDefault="007253C4" w:rsidP="007253C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Карталинского городского поселения</w:t>
      </w:r>
    </w:p>
    <w:p w:rsidR="007253C4" w:rsidRPr="007253C4" w:rsidRDefault="007253C4" w:rsidP="007253C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</w:t>
      </w:r>
      <w:r w:rsidRPr="007253C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28.10.</w:t>
      </w:r>
      <w:r w:rsidRPr="007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___2021 года №__</w:t>
      </w:r>
      <w:r w:rsidRPr="007253C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440</w:t>
      </w:r>
      <w:r w:rsidRPr="007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</w:p>
    <w:p w:rsidR="007253C4" w:rsidRPr="007253C4" w:rsidRDefault="007253C4" w:rsidP="007253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3C4" w:rsidRPr="007253C4" w:rsidRDefault="007253C4" w:rsidP="007253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БЮДЖЕТНОЙ И НАЛОГОВОЙ ПОЛИТИКИ КАРТАЛИНСКОГО ГОРОДСКОГО ПОСЕЛЕНИЯ</w:t>
      </w:r>
    </w:p>
    <w:p w:rsidR="007253C4" w:rsidRPr="007253C4" w:rsidRDefault="007253C4" w:rsidP="007253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2022-2024 ГОДЫ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53C4" w:rsidRPr="007253C4" w:rsidRDefault="007253C4" w:rsidP="007253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бюджетной и налоговой политики Карталинского городского поселения на 2022 год и на плановый период 2023 и 2024 годов подготовлены в соответствии со статьей 172 Бюджетного кодекса Российской Федерации, статьей 21 Положения о бюджетном процессе в Карталинском городском поселении.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3C4" w:rsidRPr="007253C4" w:rsidRDefault="007253C4" w:rsidP="007253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ИТОГИ РЕАЛИЗАЦИИ БЮДЖЕТНОЙ И НАЛОГОВОЙ ПОЛИТИКИ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253C4" w:rsidRPr="007253C4" w:rsidRDefault="007253C4" w:rsidP="007253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Бюджетная и налоговая политика Карталинского городского поселения в 2020 году и начале 2021 года ориентирована на эффективное, ответственное и прозрачное управление муниципальными финансами, что является базовым условием для устойчивого развития и сбалансированности бюджетной системы городского поселения. </w:t>
      </w:r>
    </w:p>
    <w:p w:rsidR="007253C4" w:rsidRPr="007253C4" w:rsidRDefault="007253C4" w:rsidP="007253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данной задачи осуществлялась, в том числе в рамках утвержденного Правительством Челябинской области Плана мероприятий по росту доходов, оптимизации расходов.</w:t>
      </w:r>
    </w:p>
    <w:p w:rsidR="007253C4" w:rsidRPr="007253C4" w:rsidRDefault="007253C4" w:rsidP="007253C4">
      <w:pPr>
        <w:tabs>
          <w:tab w:val="left" w:pos="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2020 года исполнение бюджета Карталинского городского поселения составило: по доходам – 96824,8 тыс. рублей, со снижением относительно уровня 2019 года на</w:t>
      </w:r>
      <w:r w:rsidRPr="007253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4,5 </w:t>
      </w: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процентов, и по расходам – 79932,1 тыс. рублей, уменьшение расходов к уровню 2019 года составило 17,5 процентов. Профицит по итогам исполнения бюджета поселения составил 16892,7 тыс. рублей.</w:t>
      </w:r>
    </w:p>
    <w:p w:rsidR="007253C4" w:rsidRPr="007253C4" w:rsidRDefault="007253C4" w:rsidP="007253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Наряду с мерами по укреплению доходной базы, для обеспечения первоочередных и социально - значимых задач в городском поселении действует режим экономии бюджетных средств, проводится работа по сокращению необязательных в текущей ситуации затрат.</w:t>
      </w:r>
    </w:p>
    <w:p w:rsidR="007253C4" w:rsidRPr="007253C4" w:rsidRDefault="007253C4" w:rsidP="00725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установленные бюджетным законодательством ограничения и требования соблюдаются.</w:t>
      </w:r>
    </w:p>
    <w:p w:rsidR="007253C4" w:rsidRPr="007253C4" w:rsidRDefault="007253C4" w:rsidP="00725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году продолжилась реализация мероприятий, направленных на повышение качества бюджетного планирования и эффективности бюджетных расходов. 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вышеназванных мероприятий позволяет обеспечивать стабильное исполнение расходных обязательств, в том числе своевременно и в полном объеме выполняются социальные обязательства, включая поэтапное повышение заработной платы отдельным категориям работников бюджетной сферы до уровней, установленных Указами Президента страны от 7 мая 2012 года. 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политика в сфере бюджетных расходов была направлена на решение социальных и экономических задач Карталинского городского поселения.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3C4" w:rsidRPr="007253C4" w:rsidRDefault="007253C4" w:rsidP="007253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ЦЕЛИ И ЗАДАЧИ БЮДЖЕТНОЙ И НАЛОГОВОЙ ПОЛИТИКИ КАРТАЛИНСКОГО ГОРОДСКОГО ПОСЕЛЕНИЯ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7253C4" w:rsidRPr="007253C4" w:rsidRDefault="007253C4" w:rsidP="007253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Первоочередными задачами на 2022–2024 годы будут являться предсказуемость и устойчивость бюджетной системы, качественное и эффективное муниципальное управление, стабильность налоговых и неналоговых условий.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Продолжена работа по оптимизации бюджетных расходов, в первую очередь на обеспечение выполнения функций органов местного самоуправления, а также на функционирование бюджетной сети. 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Эффективное управление расходами будет обеспечиваться посредством реализации муниципальных программ Карталинского городского поселения, направленных на поступательное развитие социальной сферы, коммунальной и транспортной инфраструктуры и другие направления. 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внимание при исполнении бюджета будет уделено эффективности бюджетных расходов. Это безусловное соблюдение бюджетного законодательства и законодательства в сфере закупок, своевременность заключения муниципальных контрактов, обеспечение контроля на всех этапах исполнения бюджета.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к этому, при исполнении бюджета необходимо обеспечить режим экономного и рационального использования бюджетных средств с использованием всех имеющихся инструментов. 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для обеспечения устойчивого и сбалансированного исполнения бюджета: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увеличение поступлений налоговых и неналоговых доходов; 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оптимизация бюджетных расходов; 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межбюджетных отношений;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Calibri" w:hAnsi="Times New Roman" w:cs="Times New Roman"/>
          <w:sz w:val="28"/>
          <w:szCs w:val="28"/>
          <w:lang w:eastAsia="ru-RU"/>
        </w:rPr>
        <w:t>- соблюдение требований бюджетного законодательства Российской Федерации (особенно по вопросам, касающимся предельных объемов муниципального долга, дефицита) во избежание приостановления предоставления межбюджетных трансфертов.</w:t>
      </w:r>
    </w:p>
    <w:p w:rsidR="007253C4" w:rsidRPr="007253C4" w:rsidRDefault="007253C4" w:rsidP="007253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вышеизложенных мер будет способствовать повышению эффективности бюджета и качества управления бюджетным процессом.</w:t>
      </w:r>
    </w:p>
    <w:p w:rsidR="007253C4" w:rsidRPr="007253C4" w:rsidRDefault="007253C4" w:rsidP="007253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3C4" w:rsidRPr="007253C4" w:rsidRDefault="007253C4" w:rsidP="007253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ПОДХОДЫ К ПЛАНИРОВАНИЮ </w:t>
      </w:r>
      <w:proofErr w:type="gramStart"/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</w:t>
      </w:r>
      <w:proofErr w:type="gramEnd"/>
    </w:p>
    <w:p w:rsidR="007253C4" w:rsidRPr="007253C4" w:rsidRDefault="007253C4" w:rsidP="007253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 И ПРИОРИТЕТЫ БЮДЖЕТНЫХ РАСХОДОВ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формирования расходной части бюджета городского поселения на 2022 год и на плановый период 2023 и 2024 годов обусловлены: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дальнейшей реализацией приоритетов бюджетной политики, сформулированных в социальных Указах и поручениях Президента Российской Федерации;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сохранением режима экономии бюджетных средств и продолжением работы по оптимизации бюджетных расходов для обеспечения устойчивости и сбалансированности бюджета городского поселения.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структуры и объемов расходных обязательств должно учитывать следующие приоритеты бюджетных расходов: 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дальнейшее повышение оплаты труда работников бюджетной сферы в соответствии с Указами Президента России от 7 мая 2012 года № 597 «О мероприятиях по реализации государственной социальной политики».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безусловное выполнение законодательно установленных мер социальной поддержки населения с учетом повышения эффективности их предоставления. 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обеспечение устойчивого функционирования бюджетной сферы и инфраструктуры поселения.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развитие массового спорта, как базового условия для формирования здорового образа жизни населения городского поселения;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соблюдение нормативов формирования расходов местного бюджета на оплату труда выборных должностных лиц органов местного самоуправления, осуществляющих свою деятельность на постоянной основе, муниципальных служащих.</w:t>
      </w:r>
    </w:p>
    <w:p w:rsidR="007253C4" w:rsidRPr="007253C4" w:rsidRDefault="007253C4" w:rsidP="00725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3C4" w:rsidRPr="007253C4" w:rsidRDefault="007253C4" w:rsidP="007253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ПОЛИТИКА В СФЕРЕ УПРАВЛЕНИЯ</w:t>
      </w:r>
    </w:p>
    <w:p w:rsidR="007253C4" w:rsidRPr="007253C4" w:rsidRDefault="007253C4" w:rsidP="007253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ДОЛГОМ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Недопущение принятия в течение финансового года новых расходных обязательств, влекущих образование дефицита бюджета.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253C4" w:rsidRPr="007253C4" w:rsidRDefault="007253C4" w:rsidP="007253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ПОЛИТИКА В СФЕРЕ МЕЖБЮДЖЕТНЫХ ОТНОШЕНИЙ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3C4" w:rsidRPr="007253C4" w:rsidRDefault="007253C4" w:rsidP="007253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Поддержка мер по обеспечению сбалансированности бюджета городского поселения, и поддержка платежеспособности является одной из первоочередных задач, стоящих перед </w:t>
      </w:r>
      <w:proofErr w:type="spellStart"/>
      <w:r w:rsidRPr="007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Карталинским</w:t>
      </w:r>
      <w:proofErr w:type="spellEnd"/>
      <w:r w:rsidRPr="007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городским поселением.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решения этой задачи п</w:t>
      </w: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олитика в области формирования межбюджетных отношений в 2022 году и на плановый период 2023 и 2024 годов будет направлена </w:t>
      </w:r>
      <w:proofErr w:type="gramStart"/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финансовой устойчивости бюджета поселения;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заинтересованности в увеличении собственных доходов местного бюджета; </w:t>
      </w:r>
    </w:p>
    <w:p w:rsidR="007253C4" w:rsidRPr="007253C4" w:rsidRDefault="007253C4" w:rsidP="0072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решений Совета депутатов о передаче части полномочий по решению вопросов местного значения Карталинского городского поселения Карталинскому муниципальному району.</w:t>
      </w:r>
    </w:p>
    <w:p w:rsidR="00D81BBD" w:rsidRDefault="00D81BBD"/>
    <w:sectPr w:rsidR="00D81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C4"/>
    <w:rsid w:val="001806C2"/>
    <w:rsid w:val="007253C4"/>
    <w:rsid w:val="00D8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1114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4</cp:revision>
  <dcterms:created xsi:type="dcterms:W3CDTF">2021-11-03T05:31:00Z</dcterms:created>
  <dcterms:modified xsi:type="dcterms:W3CDTF">2021-11-03T05:39:00Z</dcterms:modified>
</cp:coreProperties>
</file>