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A10" w:rsidRPr="00F20557" w:rsidRDefault="00367A10" w:rsidP="00367A10">
      <w:pPr>
        <w:ind w:left="2832" w:firstLine="708"/>
        <w:rPr>
          <w:rFonts w:ascii="Tahoma" w:hAnsi="Tahoma" w:cs="Tahoma"/>
          <w:bCs/>
          <w:kern w:val="36"/>
          <w:sz w:val="24"/>
        </w:rPr>
      </w:pPr>
      <w:r w:rsidRPr="00F20557">
        <w:rPr>
          <w:rFonts w:ascii="Tahoma" w:hAnsi="Tahoma" w:cs="Tahoma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-354330</wp:posOffset>
            </wp:positionV>
            <wp:extent cx="1005840" cy="542925"/>
            <wp:effectExtent l="0" t="0" r="3810" b="9525"/>
            <wp:wrapNone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0557">
        <w:rPr>
          <w:rFonts w:ascii="Tahoma" w:hAnsi="Tahoma" w:cs="Tahoma"/>
          <w:bCs/>
          <w:kern w:val="36"/>
          <w:sz w:val="24"/>
        </w:rPr>
        <w:t xml:space="preserve"> </w:t>
      </w:r>
    </w:p>
    <w:p w:rsidR="00367A10" w:rsidRPr="00F20557" w:rsidRDefault="00367A10" w:rsidP="00367A10">
      <w:pPr>
        <w:spacing w:before="840"/>
        <w:jc w:val="center"/>
        <w:outlineLvl w:val="0"/>
        <w:rPr>
          <w:rFonts w:ascii="Tahoma" w:hAnsi="Tahoma" w:cs="Tahoma"/>
          <w:b/>
          <w:bCs/>
          <w:kern w:val="36"/>
          <w:sz w:val="24"/>
        </w:rPr>
      </w:pPr>
      <w:r w:rsidRPr="00F20557">
        <w:rPr>
          <w:rFonts w:ascii="Tahoma" w:hAnsi="Tahoma" w:cs="Tahoma"/>
          <w:b/>
          <w:bCs/>
          <w:kern w:val="36"/>
          <w:sz w:val="24"/>
        </w:rPr>
        <w:t>ПРЕСС-РЕЛИЗ</w:t>
      </w:r>
    </w:p>
    <w:p w:rsidR="00367A10" w:rsidRPr="00F20557" w:rsidRDefault="00367A10" w:rsidP="00367A10">
      <w:pPr>
        <w:rPr>
          <w:rFonts w:ascii="Tahoma" w:hAnsi="Tahoma" w:cs="Tahoma"/>
          <w:noProof/>
          <w:sz w:val="24"/>
        </w:rPr>
      </w:pPr>
      <w:r w:rsidRPr="00F20557">
        <w:rPr>
          <w:rFonts w:ascii="Tahoma" w:hAnsi="Tahoma" w:cs="Tahoma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30480</wp:posOffset>
                </wp:positionV>
                <wp:extent cx="6202680" cy="9525"/>
                <wp:effectExtent l="13970" t="11430" r="12700" b="762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197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.1pt;margin-top:2.4pt;width:488.4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" strokeweight=".5pt"/>
            </w:pict>
          </mc:Fallback>
        </mc:AlternateContent>
      </w:r>
    </w:p>
    <w:p w:rsidR="00367A10" w:rsidRPr="00F20557" w:rsidRDefault="00367A10" w:rsidP="00367A10">
      <w:pPr>
        <w:rPr>
          <w:rFonts w:ascii="Tahoma" w:hAnsi="Tahoma" w:cs="Tahoma"/>
          <w:noProof/>
          <w:sz w:val="24"/>
        </w:rPr>
      </w:pPr>
      <w:r>
        <w:rPr>
          <w:rFonts w:ascii="Tahoma" w:hAnsi="Tahoma" w:cs="Tahoma"/>
          <w:noProof/>
          <w:sz w:val="24"/>
        </w:rPr>
        <w:t>22</w:t>
      </w:r>
      <w:r w:rsidRPr="00F20557">
        <w:rPr>
          <w:rFonts w:ascii="Tahoma" w:hAnsi="Tahoma" w:cs="Tahoma"/>
          <w:noProof/>
          <w:sz w:val="24"/>
        </w:rPr>
        <w:t>.08.2022</w:t>
      </w:r>
    </w:p>
    <w:p w:rsidR="00367A10" w:rsidRPr="00F20557" w:rsidRDefault="00367A10" w:rsidP="00367A10">
      <w:pPr>
        <w:rPr>
          <w:rFonts w:ascii="Tahoma" w:hAnsi="Tahoma" w:cs="Tahoma"/>
          <w:sz w:val="24"/>
        </w:rPr>
      </w:pPr>
      <w:r w:rsidRPr="00F20557">
        <w:rPr>
          <w:rFonts w:ascii="Tahoma" w:hAnsi="Tahoma" w:cs="Tahoma"/>
          <w:noProof/>
          <w:sz w:val="24"/>
        </w:rPr>
        <w:t>г. Челябинск</w:t>
      </w:r>
    </w:p>
    <w:p w:rsidR="00367A10" w:rsidRPr="00F20557" w:rsidRDefault="00367A10" w:rsidP="00367A10">
      <w:pPr>
        <w:jc w:val="center"/>
        <w:rPr>
          <w:rFonts w:ascii="Tahoma" w:hAnsi="Tahoma" w:cs="Tahoma"/>
          <w:color w:val="000000"/>
          <w:sz w:val="24"/>
        </w:rPr>
      </w:pPr>
    </w:p>
    <w:p w:rsidR="00367A10" w:rsidRPr="00367A10" w:rsidRDefault="00367A10" w:rsidP="00367A1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367A10">
        <w:rPr>
          <w:rFonts w:ascii="Tahoma" w:eastAsia="Times New Roman" w:hAnsi="Tahoma" w:cs="Tahoma"/>
          <w:b/>
          <w:sz w:val="28"/>
          <w:szCs w:val="28"/>
          <w:lang w:eastAsia="ru-RU"/>
        </w:rPr>
        <w:t>«Газпром газораспределение Челябинск» призывает тщательно выбирать компанию для обслуживания газового оборудования</w:t>
      </w:r>
    </w:p>
    <w:p w:rsidR="00367A10" w:rsidRPr="00367A10" w:rsidRDefault="00367A10" w:rsidP="00367A1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367A10" w:rsidRDefault="00367A10" w:rsidP="00367A1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367A10">
        <w:rPr>
          <w:rFonts w:ascii="Tahoma" w:eastAsia="Times New Roman" w:hAnsi="Tahoma" w:cs="Tahoma"/>
          <w:sz w:val="28"/>
          <w:szCs w:val="28"/>
          <w:lang w:eastAsia="ru-RU"/>
        </w:rPr>
        <w:t>«Газпром газораспределение Челябинск» напоминает о необходимости тщательно выбирать компанию для обслуживания газового оборудования. </w:t>
      </w:r>
    </w:p>
    <w:p w:rsidR="00367A10" w:rsidRPr="00367A10" w:rsidRDefault="00367A10" w:rsidP="00367A1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367A10" w:rsidRDefault="00367A10" w:rsidP="00367A1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367A10">
        <w:rPr>
          <w:rFonts w:ascii="Tahoma" w:eastAsia="Times New Roman" w:hAnsi="Tahoma" w:cs="Tahoma"/>
          <w:sz w:val="28"/>
          <w:szCs w:val="28"/>
          <w:lang w:eastAsia="ru-RU"/>
        </w:rPr>
        <w:t>Проводить техническое обслуживание газового оборудования на территории Российской Федерации имеют право только специализированные организации. Перечень газораспределительных организаций, которые занимаются обслуживанием газового оборудования в Челябинской области, доступен на сайте ГУ «Государственная жилищная инспекция Челябинской области». </w:t>
      </w:r>
    </w:p>
    <w:p w:rsidR="00367A10" w:rsidRPr="00367A10" w:rsidRDefault="00367A10" w:rsidP="00367A1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367A10" w:rsidRDefault="00367A10" w:rsidP="00367A1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367A10">
        <w:rPr>
          <w:rFonts w:ascii="Tahoma" w:eastAsia="Times New Roman" w:hAnsi="Tahoma" w:cs="Tahoma"/>
          <w:sz w:val="28"/>
          <w:szCs w:val="28"/>
          <w:lang w:eastAsia="ru-RU"/>
        </w:rPr>
        <w:t>Сотрудники всех филиалов «Газпром газораспределение Челябинск» заранее предупреждают абонентов и управляющие компании о предстоящем проведении технического обслуживания. Также информация доступна в личном кабинете абонента на сайте gazcom74.ru или п</w:t>
      </w:r>
      <w:r>
        <w:rPr>
          <w:rFonts w:ascii="Tahoma" w:eastAsia="Times New Roman" w:hAnsi="Tahoma" w:cs="Tahoma"/>
          <w:sz w:val="28"/>
          <w:szCs w:val="28"/>
          <w:lang w:eastAsia="ru-RU"/>
        </w:rPr>
        <w:t>о указанным на портале телефонам</w:t>
      </w:r>
      <w:r w:rsidRPr="00367A10">
        <w:rPr>
          <w:rFonts w:ascii="Tahoma" w:eastAsia="Times New Roman" w:hAnsi="Tahoma" w:cs="Tahoma"/>
          <w:sz w:val="28"/>
          <w:szCs w:val="28"/>
          <w:lang w:eastAsia="ru-RU"/>
        </w:rPr>
        <w:t>.</w:t>
      </w:r>
    </w:p>
    <w:p w:rsidR="00367A10" w:rsidRPr="00367A10" w:rsidRDefault="00367A10" w:rsidP="00367A1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367A10" w:rsidRPr="00367A10" w:rsidRDefault="00367A10" w:rsidP="00367A1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367A10">
        <w:rPr>
          <w:rFonts w:ascii="Tahoma" w:eastAsia="Times New Roman" w:hAnsi="Tahoma" w:cs="Tahoma"/>
          <w:sz w:val="28"/>
          <w:szCs w:val="28"/>
          <w:lang w:eastAsia="ru-RU"/>
        </w:rPr>
        <w:t>«Мы призываем потребителей быть внимательными и тщательно выбирать организацию, которая осуществляет обслуживание газового оборудования. Допускать до индивидуальных</w:t>
      </w:r>
      <w:bookmarkStart w:id="0" w:name="_GoBack"/>
      <w:bookmarkEnd w:id="0"/>
      <w:r w:rsidRPr="00367A10">
        <w:rPr>
          <w:rFonts w:ascii="Tahoma" w:eastAsia="Times New Roman" w:hAnsi="Tahoma" w:cs="Tahoma"/>
          <w:sz w:val="28"/>
          <w:szCs w:val="28"/>
          <w:lang w:eastAsia="ru-RU"/>
        </w:rPr>
        <w:t xml:space="preserve"> приборов учета газа и оборудования можно только специалистов организаций, сотрудники которых прошли аттестацию и имеют специальное удостоверение», — отметил генеральный директор АО «Газпром газораспределение Челябинск» Владимир Серадский.</w:t>
      </w:r>
    </w:p>
    <w:p w:rsidR="009A33B2" w:rsidRPr="00367A10" w:rsidRDefault="009A33B2">
      <w:pPr>
        <w:rPr>
          <w:rFonts w:ascii="Tahoma" w:hAnsi="Tahoma" w:cs="Tahoma"/>
          <w:sz w:val="28"/>
          <w:szCs w:val="28"/>
        </w:rPr>
      </w:pPr>
    </w:p>
    <w:sectPr w:rsidR="009A33B2" w:rsidRPr="0036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DF"/>
    <w:rsid w:val="00367A10"/>
    <w:rsid w:val="009A33B2"/>
    <w:rsid w:val="00CA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EE10"/>
  <w15:chartTrackingRefBased/>
  <w15:docId w15:val="{858AB018-2754-4197-9A96-ED2BDD9D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Годына Анастасия Владимировна</dc:creator>
  <cp:keywords/>
  <dc:description/>
  <cp:lastModifiedBy>Годына Анастасия Владимировна</cp:lastModifiedBy>
  <cp:revision>2</cp:revision>
  <dcterms:created xsi:type="dcterms:W3CDTF">2022-08-22T08:18:00Z</dcterms:created>
  <dcterms:modified xsi:type="dcterms:W3CDTF">2022-08-22T08:21:00Z</dcterms:modified>
</cp:coreProperties>
</file>