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3F0D7D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EB6101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13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EB6101" w:rsidRPr="00EB6101" w:rsidRDefault="00EB6101" w:rsidP="00EB6101">
      <w:pPr>
        <w:rPr>
          <w:rFonts w:asciiTheme="minorHAnsi" w:hAnsiTheme="minorHAnsi"/>
          <w:b/>
          <w:sz w:val="28"/>
          <w:szCs w:val="28"/>
        </w:rPr>
      </w:pPr>
      <w:r w:rsidRPr="00EB6101">
        <w:rPr>
          <w:rFonts w:asciiTheme="minorHAnsi" w:hAnsiTheme="minorHAnsi"/>
          <w:b/>
          <w:sz w:val="28"/>
          <w:szCs w:val="28"/>
        </w:rPr>
        <w:t>Мякуш: Поддержку избирателей получают только те кандидаты, кто остается в диалоге с людьми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>Сегодня, 13 ноября, в Уральском МКС, возглавляет который  депутат Госдумы Иван Квитка, обсудили готовность регионов к проведению избирательных кампаний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 xml:space="preserve">Практика проведения избирательных кампаний показала, что поддержку населения получают те кандидаты, которые идут на контакт с людьми, решают их актуальные вопросы, активно работают над реализацией проектов на территориях. Именно с учетом этого мы обсудили с коллегами планы их работ в </w:t>
      </w:r>
      <w:proofErr w:type="spellStart"/>
      <w:r w:rsidRPr="00EB6101">
        <w:rPr>
          <w:rFonts w:asciiTheme="minorHAnsi" w:hAnsiTheme="minorHAnsi"/>
        </w:rPr>
        <w:t>межвыборный</w:t>
      </w:r>
      <w:proofErr w:type="spellEnd"/>
      <w:r w:rsidRPr="00EB6101">
        <w:rPr>
          <w:rFonts w:asciiTheme="minorHAnsi" w:hAnsiTheme="minorHAnsi"/>
        </w:rPr>
        <w:t xml:space="preserve"> и выборный период. Об этом сказал председатель комиссии по организации и проведению выборов Уральского МКС, председатель Заксобрания Челябинской области Владимир Мякуш по итогам </w:t>
      </w:r>
      <w:proofErr w:type="spellStart"/>
      <w:r w:rsidRPr="00EB6101">
        <w:rPr>
          <w:rFonts w:asciiTheme="minorHAnsi" w:hAnsiTheme="minorHAnsi"/>
        </w:rPr>
        <w:t>онлайн-заседания</w:t>
      </w:r>
      <w:proofErr w:type="spellEnd"/>
      <w:r w:rsidRPr="00EB6101">
        <w:rPr>
          <w:rFonts w:asciiTheme="minorHAnsi" w:hAnsiTheme="minorHAnsi"/>
        </w:rPr>
        <w:t>.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 xml:space="preserve">«В ходе работы комиссии появились вопросы, которые требуют тщательного рассмотрения. Это касается совершенствования системы электронного предварительного голосования. Для граждан важно, чтобы этот электронный сервис работал без перебоев, был удобен для каждого, в том числе и для людей старшего поколения. Особенно это актуально в условиях непростой эпидемиологической ситуации, а многие граждане даже не знают о такой возможности голосования. Считаем, что нужно проводить масштабную разъяснительную работу в этом направлении. Сегодня заслушали опыт регионов, где праймериз проходил в таком формате, разработали общие рекомендации для эффективности проведения этой процедуры», –  сообщил он, добавив, что для удобства граждан сроки проведения предварительного голосования могут быть увеличены. 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 xml:space="preserve">«Члены комиссии, представители всех субъектов Уральского федерального округа, выявили возможные риски избирательных кампаний, обсудили стратегии будущих выборов, в которых обозначены все этапы подготовки проведения выборов. Консолидировано для каждого регионального отделения Партии </w:t>
      </w:r>
      <w:proofErr w:type="spellStart"/>
      <w:r w:rsidRPr="00EB6101">
        <w:rPr>
          <w:rFonts w:asciiTheme="minorHAnsi" w:hAnsiTheme="minorHAnsi"/>
        </w:rPr>
        <w:t>УрФО</w:t>
      </w:r>
      <w:proofErr w:type="spellEnd"/>
      <w:r w:rsidRPr="00EB6101">
        <w:rPr>
          <w:rFonts w:asciiTheme="minorHAnsi" w:hAnsiTheme="minorHAnsi"/>
        </w:rPr>
        <w:t xml:space="preserve"> мы </w:t>
      </w:r>
      <w:proofErr w:type="spellStart"/>
      <w:r w:rsidRPr="00EB6101">
        <w:rPr>
          <w:rFonts w:asciiTheme="minorHAnsi" w:hAnsiTheme="minorHAnsi"/>
        </w:rPr>
        <w:t>адресно</w:t>
      </w:r>
      <w:proofErr w:type="spellEnd"/>
      <w:r w:rsidRPr="00EB6101">
        <w:rPr>
          <w:rFonts w:asciiTheme="minorHAnsi" w:hAnsiTheme="minorHAnsi"/>
        </w:rPr>
        <w:t xml:space="preserve"> разрабатываем новые подходы к решению общих задач», –  пояснил Мякуш. 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 xml:space="preserve">Он отметил высокий уровень подготовки региональных отделений Партии. «Секретари региональных отделений показали свою готовность к диалогу, к командной работе и </w:t>
      </w:r>
      <w:r w:rsidRPr="00EB6101">
        <w:rPr>
          <w:rFonts w:asciiTheme="minorHAnsi" w:hAnsiTheme="minorHAnsi"/>
        </w:rPr>
        <w:lastRenderedPageBreak/>
        <w:t>взаимодействию. Все высказанные предложения и рекомендации будут учтены», - подчеркнул председатель комиссии.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 xml:space="preserve">«Челябинская область в этом году получила очень ценный опыт проведения электронного предварительного голосования. Мы проводили его в преддверии масштабной избирательной кампании, в ходе которой распределяли более 3 тысяч мандатов. Абсолютно каждый наш кандидат в депутаты регионального и местного уровня прежде, чем идти на основные выборы, заручился поддержкой избирателей. Это важнейший этап, благодаря которому партия «Единая Россия» ведет выборную кампанию в соответствии с принципами прозрачности и легитимности. Конечно, даже в условиях пандемии мы не могли от него отказаться, но сделали все для того, чтобы исключить риски для здоровья людей. </w:t>
      </w:r>
    </w:p>
    <w:p w:rsidR="00EB6101" w:rsidRPr="00EB6101" w:rsidRDefault="00EB6101" w:rsidP="00EB6101">
      <w:pPr>
        <w:rPr>
          <w:rFonts w:asciiTheme="minorHAnsi" w:hAnsiTheme="minorHAnsi"/>
        </w:rPr>
      </w:pPr>
      <w:r w:rsidRPr="00EB6101">
        <w:rPr>
          <w:rFonts w:asciiTheme="minorHAnsi" w:hAnsiTheme="minorHAnsi"/>
        </w:rPr>
        <w:t>Электронное голосование позволило не только определиться с кандидатами, но и вывести нашу работу на новый уровень. Мы наладили оперативную работу с территориями, партийными активистами, а также попробовали новые методы агитации. Избиратели проявили активность, благодаря чему процедура голосования прошла честно, объективно и гласно. Результаты показали, что и жители Южного Урала заинтересованы в самостоятельном формировании органов власти», - прокомментировал Секретарь Челябинского регионального отделения партии «Единая Россия», губернатор Алексей Текслер.</w:t>
      </w:r>
    </w:p>
    <w:p w:rsidR="00EB6101" w:rsidRPr="00EB6101" w:rsidRDefault="00EB6101" w:rsidP="00EB6101">
      <w:pPr>
        <w:rPr>
          <w:rFonts w:asciiTheme="minorHAnsi" w:hAnsiTheme="minorHAnsi"/>
        </w:rPr>
      </w:pPr>
    </w:p>
    <w:p w:rsidR="00EB6101" w:rsidRPr="00A6648B" w:rsidRDefault="00EB6101" w:rsidP="00EB6101"/>
    <w:p w:rsidR="009C62DD" w:rsidRPr="00356B64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3F0D7D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EB6101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2020-11-13T09:32:00Z</dcterms:created>
  <dcterms:modified xsi:type="dcterms:W3CDTF">2020-11-13T09:32:00Z</dcterms:modified>
</cp:coreProperties>
</file>